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2425a787335421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50635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RAZVOJNA AGENCIJA TINTL</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29.148,45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26.592,63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24.027,29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28.186,32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1.593,69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PRIHODA OD NEFINANCIJSKE IMOVINE (šifre 7-4,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X002, 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1.593,69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BILJEŠKE UZ FINANCIJSKE IZVJEŠTAJE ZA RAZDOBLJE I - III 2026.</w:t>
      </w:r>
    </w:p>
    <w:p>
      <w:r>
        <w:t xml:space="preserve">Izvještaj o prihodima i rashodima, primicima i izdacima</w:t>
      </w:r>
    </w:p>
    <w:p>
      <w:r>
        <w:t xml:space="preserve">Bilješka 1.</w:t>
      </w:r>
    </w:p>
    <w:p>
      <w:r>
        <w:t xml:space="preserve">U izvještajnom razdoblju (01.01.2026. - 31.03.2026.) Razvojna agencija TINTL ostvarila je sljedeći rezultat poslovanja: Ukupni prihodi poslovanja (šifra 6) iznose 26.592,63 eura, dok ukupni rashodi poslovanja (šifra 3) iznose 28.186,32 eura. Razlika ukupno ostvarenih prihoda i rashoda poslovanja čini manjak prihoda poslovanja (šifra Y001) u iznosu od 1.593,69 eura. </w:t>
      </w:r>
    </w:p>
    <w:p>
      <w:r>
        <w:t xml:space="preserve">S obzirom da preneseni višak prihoda i primitaka iznosi 9.763,89 eura te je dovoljan za pokriće manjka prihoda poslovanja u iznosu 1.593,69 eura, ostvaren je pozitivan rezultat poslovanja, odnosno ostvaren je višak prihoda i primitaka raspoloživ u sljedećem razdoblju (šifra X006) u iznosu 8.170,20 eura.</w:t>
      </w:r>
    </w:p>
    <w:p>
      <w:r>
        <w:t xml:space="preserve"> </w:t>
      </w:r>
    </w:p>
    <w:p>
      <w:r>
        <w:t xml:space="preserve">Bilješka 2.</w:t>
      </w:r>
    </w:p>
    <w:p>
      <w:r>
        <w:t xml:space="preserve">Ukupni prihodi poslovanja Razvojne agencije TINTL na dan 31.03.2026. iznose 26.592,63 eura, što predstavlja smanjenje od 8,8% u odnosu na prethodnu godinu. Smanjenje prihoda poslovanja rezultat je načina poslovanja putem sustava riznice te izostanka uplate sredstava za redovan rad od strane Općine Tovarnik. Razvojna agencija TINTL od 01.01.2026. godine posluje preko jedinstvenog računa Općine Tovarnik, slijedom čega dinamika i evidentiranje prihoda ovisi o izvršenim prijenosima sredstava od strane osnivača u iznosu 22.349,00 eura, kao i prihodima iz nadležnog proračuna (Općine Tovarnik) za financiranje rashoda poslovanja u iznosu 4.243,61 eura. Izuzev ovih prihoda, ostvaren je i prihod od 0,02 eura od pasivne kamate za razdoblje 01.01.-04.01.2026. godine, odnosno do zatvaranja poslovnog računa Razvojne agencije TINTL u Hrvatskoj poštanskoj banci i prijenosa sredstava u proračun Općine Tovarnik.</w:t>
      </w:r>
    </w:p>
    <w:p>
      <w:r>
        <w:t xml:space="preserve">U odnosu na prethodno razdoblje, povećan je iznos sufinanciranja po osnivaču za 587,25 eura, što je utjecalo na ukupnu strukturu prihoda.</w:t>
      </w:r>
    </w:p>
    <w:p>
      <w:r>
        <w:t xml:space="preserve"> </w:t>
      </w:r>
    </w:p>
    <w:p>
      <w:r>
        <w:t xml:space="preserve">Bilješka 3.</w:t>
      </w:r>
    </w:p>
    <w:p>
      <w:r>
        <w:t xml:space="preserve">Prihodi od prodaje proizvoda i robe te pruženih usluga, prihodi od donacija te povrati po protestiranim jamstvima u izvještajnom razdoblju prethodne godine ostvareni su u iznosu 9.148,00 eura, a odnose se na pružanje konzultantskih usluga. U izvještajnom razdoblju tekuće godine nije bilo zahtjeva za ovim uslugama te stoga nije ostvaren ni prihod.</w:t>
      </w:r>
    </w:p>
    <w:p>
      <w:r>
        <w:t xml:space="preserve"> </w:t>
      </w:r>
    </w:p>
    <w:p>
      <w:r>
        <w:t xml:space="preserve">Bilješka 4.</w:t>
      </w:r>
    </w:p>
    <w:p>
      <w:r>
        <w:t xml:space="preserve">Ukupni rashodi poslovanja Razvojne agencije TINTL na dan 31.03.2026. iznose 28.186,32 eura, što predstavlja povećanje od 17,3% u odnosu na prethodnu godinu.</w:t>
      </w:r>
    </w:p>
    <w:p>
      <w:r>
        <w:t xml:space="preserve"> </w:t>
      </w:r>
    </w:p>
    <w:p>
      <w:r>
        <w:t xml:space="preserve">Bilješka 5.</w:t>
      </w:r>
    </w:p>
    <w:p>
      <w:r>
        <w:t xml:space="preserve">Povećanje u odnosu na prethodno razdoblje evidentirano je na rashodima za zaposlene, a rezultat je kontinuiranog rasta plaća tijekom 2025. godine.</w:t>
      </w:r>
    </w:p>
    <w:p>
      <w:r>
        <w:t xml:space="preserve"> </w:t>
      </w:r>
    </w:p>
    <w:p>
      <w:r>
        <w:t xml:space="preserve">Bilješka 6.</w:t>
      </w:r>
    </w:p>
    <w:p>
      <w:r>
        <w:t xml:space="preserve">Materijalni rashodi su u odnosu na izvještajno razdoblje prethodne godine povećani za 37,3%, a obuhvaćaju: naknade troškova zaposlenima, rashode za materijal i energiju, rashode za usluge i ostale nespomenute rashode poslovanja. Značajno povećanje se odnosi na rashode za materijal i energiju, a rezultat je globalnog poskupljenja materijala i energenata.</w:t>
      </w:r>
    </w:p>
    <w:p>
      <w:r>
        <w:t xml:space="preserve"> </w:t>
      </w:r>
    </w:p>
    <w:p>
      <w:r>
        <w:br/>
      </w:r>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fe1a2c4d68f4436" /></Relationships>
</file>